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jc w:val="left"/>
        <w:rPr>
          <w:rFonts w:hint="eastAsia" w:ascii="仿宋_GB2312" w:hAnsi="仿宋_GB2312" w:eastAsia="仿宋_GB2312" w:cs="仿宋_GB2312"/>
          <w:b w:val="0"/>
          <w:bCs/>
          <w:color w:val="000000"/>
          <w:kern w:val="0"/>
          <w:sz w:val="32"/>
          <w:szCs w:val="32"/>
        </w:rPr>
      </w:pPr>
      <w:bookmarkStart w:id="0" w:name="_GoBack"/>
      <w:r>
        <w:rPr>
          <w:rFonts w:hint="eastAsia" w:ascii="仿宋_GB2312" w:hAnsi="仿宋_GB2312" w:eastAsia="仿宋_GB2312" w:cs="仿宋_GB2312"/>
          <w:b w:val="0"/>
          <w:bCs/>
          <w:color w:val="000000"/>
          <w:kern w:val="0"/>
          <w:sz w:val="32"/>
          <w:szCs w:val="32"/>
        </w:rPr>
        <w:t>附件2</w:t>
      </w:r>
      <w:bookmarkEnd w:id="0"/>
      <w:r>
        <w:rPr>
          <w:rFonts w:hint="eastAsia" w:ascii="仿宋_GB2312" w:hAnsi="仿宋_GB2312" w:eastAsia="仿宋_GB2312" w:cs="仿宋_GB2312"/>
          <w:b w:val="0"/>
          <w:bCs/>
          <w:color w:val="000000"/>
          <w:kern w:val="0"/>
          <w:sz w:val="32"/>
          <w:szCs w:val="32"/>
        </w:rPr>
        <w:t>：资源目录摘要（每年会更新）</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 xml:space="preserve">1、浙江高校联合目录--浙江高校联合目录检索系统旨在全面整合和揭示浙江全省高校图书馆实体印刷型书刊文献和虚拟数字资源的收藏、建设状况，为提高全省书目数据标准化著录水平，方便各馆进行文献交流和馆际互借，最终实现全省高校文献资源共建、共知、共享。 </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2、国研网数据库--国研网是国务院发展研究中心主管、国务院发展研究中心信息中心主办、北京国研网信息有限公司承办的大型经济类专业网站。</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3</w:t>
      </w:r>
      <w:r>
        <w:rPr>
          <w:rFonts w:hint="eastAsia" w:ascii="仿宋" w:hAnsi="仿宋" w:eastAsia="仿宋" w:cs="宋体"/>
          <w:color w:val="000000"/>
          <w:kern w:val="0"/>
          <w:sz w:val="32"/>
          <w:szCs w:val="32"/>
        </w:rPr>
        <w:t>、特色资源库 --本资源库由建筑工程系、经济管理系、城市建设工程系、建筑与艺术系、人文与信息系、实验实训部模块组成，以全体师生为主要服务对象，在资源内容的选择和编排方式上以学院专业为中心、以满足教学科研需求为目的。通过逐步对校内外建设类特色信息数据的收集和归类，构建学院特色数据的统一检索、统一展示平台，提高数字资源的易用性、易维护性和可持续发展，真正实现信息资源的共建、共享。</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4</w:t>
      </w:r>
      <w:r>
        <w:rPr>
          <w:rFonts w:hint="eastAsia" w:ascii="仿宋" w:hAnsi="仿宋" w:eastAsia="仿宋" w:cs="宋体"/>
          <w:color w:val="000000"/>
          <w:kern w:val="0"/>
          <w:sz w:val="32"/>
          <w:szCs w:val="32"/>
        </w:rPr>
        <w:t>、读秀--读秀"是由海量全文数据及资料基本信息组成的超大型数据库，为用户提供深入到图书章节和内容的全文检索，部分文献的原文试读，以及高效查找、获取各种类型学术文献资料的一站式检索，周到的参考咨询服务，是一个真正意义上的学术搜索引擎及文献资料服务平台。</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5</w:t>
      </w:r>
      <w:r>
        <w:rPr>
          <w:rFonts w:hint="eastAsia" w:ascii="仿宋" w:hAnsi="仿宋" w:eastAsia="仿宋" w:cs="宋体"/>
          <w:color w:val="000000"/>
          <w:kern w:val="0"/>
          <w:sz w:val="32"/>
          <w:szCs w:val="32"/>
        </w:rPr>
        <w:t>、墨香数字平台--电子报刊</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6</w:t>
      </w:r>
      <w:r>
        <w:rPr>
          <w:rFonts w:hint="eastAsia" w:ascii="仿宋" w:hAnsi="仿宋" w:eastAsia="仿宋" w:cs="宋体"/>
          <w:color w:val="000000"/>
          <w:kern w:val="0"/>
          <w:sz w:val="32"/>
          <w:szCs w:val="32"/>
        </w:rPr>
        <w:t>、公元集成教学图片--建筑图片</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7</w:t>
      </w:r>
      <w:r>
        <w:rPr>
          <w:rFonts w:hint="eastAsia" w:ascii="仿宋" w:hAnsi="仿宋" w:eastAsia="仿宋" w:cs="宋体"/>
          <w:color w:val="000000"/>
          <w:kern w:val="0"/>
          <w:sz w:val="32"/>
          <w:szCs w:val="32"/>
        </w:rPr>
        <w:t>、万方数据库(学位论文)--中外学术论文、中外标准、中外专利、科技成果、政策法规等科技文献的在线服务平台。</w:t>
      </w:r>
    </w:p>
    <w:p>
      <w:pPr>
        <w:widowControl/>
        <w:spacing w:line="500" w:lineRule="exact"/>
        <w:ind w:firstLine="640" w:firstLineChars="200"/>
        <w:jc w:val="left"/>
        <w:rPr>
          <w:rFonts w:hint="eastAsia" w:ascii="仿宋" w:hAnsi="仿宋" w:eastAsia="仿宋" w:cs="宋体"/>
          <w:color w:val="000000"/>
          <w:kern w:val="0"/>
          <w:sz w:val="32"/>
          <w:szCs w:val="32"/>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8</w:t>
      </w:r>
      <w:r>
        <w:rPr>
          <w:rFonts w:hint="eastAsia" w:ascii="仿宋" w:hAnsi="仿宋" w:eastAsia="仿宋" w:cs="宋体"/>
          <w:color w:val="000000"/>
          <w:kern w:val="0"/>
          <w:sz w:val="32"/>
          <w:szCs w:val="32"/>
        </w:rPr>
        <w:t>、EBSCO外文数据库--EBSCO出版公司是世界上最大的全文期刊数据集成出版商，通过EBSCOhost平台可以访问超过375种全文和辅助研究数据库。</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9</w:t>
      </w:r>
      <w:r>
        <w:rPr>
          <w:rFonts w:hint="eastAsia" w:ascii="仿宋" w:hAnsi="仿宋" w:eastAsia="仿宋" w:cs="宋体"/>
          <w:color w:val="000000"/>
          <w:kern w:val="0"/>
          <w:sz w:val="32"/>
          <w:szCs w:val="32"/>
        </w:rPr>
        <w:t>、中国建筑知识仓库--融合了与城乡建设行业相关的期刊、报纸、博硕士学位论文、会议论文、设计成果、景观图像、政策法规、等信息资源</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10</w:t>
      </w:r>
      <w:r>
        <w:rPr>
          <w:rFonts w:hint="eastAsia" w:ascii="仿宋" w:hAnsi="仿宋" w:eastAsia="仿宋" w:cs="宋体"/>
          <w:color w:val="000000"/>
          <w:kern w:val="0"/>
          <w:sz w:val="32"/>
          <w:szCs w:val="32"/>
        </w:rPr>
        <w:t>、知网中心网站（期刊）--中国知网知识发现网络平台—面向海内外读者提供中国学术文献、外文文献、学位论文、报纸、会议、年鉴、工具书等各类资源统一检索、统一导航、在线阅读和下载服务。</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11</w:t>
      </w:r>
      <w:r>
        <w:rPr>
          <w:rFonts w:hint="eastAsia" w:ascii="仿宋" w:hAnsi="仿宋" w:eastAsia="仿宋" w:cs="宋体"/>
          <w:color w:val="000000"/>
          <w:kern w:val="0"/>
          <w:sz w:val="32"/>
          <w:szCs w:val="32"/>
        </w:rPr>
        <w:t>、知网建院库--中国知网个性化定制及服务的全新资源应用方式-为个人和单位提供个性化的资源检索和资源管理方式,同时为单位提供CNKI资源、本单位自由资源、互联网资源的一站式检索服务。</w:t>
      </w:r>
    </w:p>
    <w:p>
      <w:pPr>
        <w:widowControl/>
        <w:spacing w:line="500" w:lineRule="exact"/>
        <w:ind w:firstLine="640" w:firstLineChars="200"/>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12</w:t>
      </w:r>
      <w:r>
        <w:rPr>
          <w:rFonts w:hint="eastAsia" w:ascii="仿宋" w:hAnsi="仿宋" w:eastAsia="仿宋" w:cs="宋体"/>
          <w:color w:val="000000"/>
          <w:kern w:val="0"/>
          <w:sz w:val="32"/>
          <w:szCs w:val="32"/>
        </w:rPr>
        <w:t>、『设计师之家资源库』致力于打造全球领先的设计师在线学习平台、资源素材中心、创客中心。涉及影视后期、游戏制作、影视动画、平面设计、环境艺术、UI设计、工业设计、数字绘画、摄影摄像九大行业板块，内容覆盖了Photoshop、CorelDRAW、Illustrator、Flash、Dreamweaver、AfterEffects、Zbrush、Premiere、Maya、InDesign、Nuke、Unity、3ds Max、Painter、Mudbox、RealFlow、MotionBuilder、Houdini、CINEMA 4D、UVlayout、MARI、SketchUp、Vray、sony-vegas、Vue、Fusion、EDIUS等所有主流设计软件和插件工具，囊括了当今电脑时代中所有的视觉艺术创作活动。</w:t>
      </w:r>
    </w:p>
    <w:p>
      <w:pPr>
        <w:widowControl/>
        <w:spacing w:line="500" w:lineRule="exact"/>
        <w:jc w:val="left"/>
        <w:rPr>
          <w:rFonts w:hint="eastAsia" w:ascii="仿宋" w:hAnsi="仿宋" w:eastAsia="仿宋" w:cs="宋体"/>
          <w:b/>
          <w:color w:val="000000"/>
          <w:kern w:val="0"/>
          <w:sz w:val="28"/>
          <w:szCs w:val="28"/>
        </w:rPr>
      </w:pPr>
    </w:p>
    <w:p>
      <w:pPr>
        <w:widowControl/>
        <w:spacing w:line="500" w:lineRule="exact"/>
        <w:jc w:val="left"/>
        <w:rPr>
          <w:rFonts w:hint="eastAsia" w:ascii="仿宋" w:hAnsi="仿宋" w:eastAsia="仿宋" w:cs="宋体"/>
          <w:b/>
          <w:color w:val="000000"/>
          <w:kern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28"/>
        <w:szCs w:val="28"/>
        <w:lang w:val="en-US" w:eastAsia="zh-CN" w:bidi="ar-SA"/>
      </w:rPr>
    </w:pPr>
    <w:r>
      <w:rPr>
        <w:rFonts w:ascii="Calibri" w:hAnsi="Calibri" w:eastAsia="宋体" w:cs="Times New Roman"/>
        <w:kern w:val="2"/>
        <w:sz w:val="2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t xml:space="preserve">— </w:t>
                          </w:r>
                          <w:r>
                            <w:rPr>
                              <w:rFonts w:ascii="Calibri" w:hAnsi="Calibri" w:eastAsia="宋体" w:cs="Times New Roman"/>
                              <w:kern w:val="2"/>
                              <w:sz w:val="24"/>
                              <w:szCs w:val="24"/>
                              <w:lang w:val="en-US" w:eastAsia="zh-CN" w:bidi="ar-SA"/>
                            </w:rPr>
                            <w:fldChar w:fldCharType="begin"/>
                          </w:r>
                          <w:r>
                            <w:rPr>
                              <w:rFonts w:ascii="Calibri" w:hAnsi="Calibri" w:eastAsia="宋体" w:cs="Times New Roman"/>
                              <w:kern w:val="2"/>
                              <w:sz w:val="24"/>
                              <w:szCs w:val="24"/>
                              <w:lang w:val="en-US" w:eastAsia="zh-CN" w:bidi="ar-SA"/>
                            </w:rPr>
                            <w:instrText xml:space="preserve"> PAGE  \* MERGEFORMAT </w:instrText>
                          </w:r>
                          <w:r>
                            <w:rPr>
                              <w:rFonts w:ascii="Calibri" w:hAnsi="Calibri" w:eastAsia="宋体" w:cs="Times New Roman"/>
                              <w:kern w:val="2"/>
                              <w:sz w:val="24"/>
                              <w:szCs w:val="24"/>
                              <w:lang w:val="en-US" w:eastAsia="zh-CN" w:bidi="ar-SA"/>
                            </w:rPr>
                            <w:fldChar w:fldCharType="separate"/>
                          </w:r>
                          <w:r>
                            <w:rPr>
                              <w:rFonts w:ascii="Calibri" w:hAnsi="Calibri" w:eastAsia="宋体" w:cs="Times New Roman"/>
                              <w:kern w:val="2"/>
                              <w:sz w:val="24"/>
                              <w:szCs w:val="24"/>
                              <w:lang w:val="en-US" w:eastAsia="zh-CN" w:bidi="ar-SA"/>
                            </w:rPr>
                            <w:t>- 1 -</w:t>
                          </w:r>
                          <w:r>
                            <w:rPr>
                              <w:rFonts w:ascii="Calibri" w:hAnsi="Calibri" w:eastAsia="宋体" w:cs="Times New Roman"/>
                              <w:kern w:val="2"/>
                              <w:sz w:val="24"/>
                              <w:szCs w:val="24"/>
                              <w:lang w:val="en-US" w:eastAsia="zh-CN" w:bidi="ar-SA"/>
                            </w:rPr>
                            <w:fldChar w:fldCharType="end"/>
                          </w:r>
                          <w:r>
                            <w:rPr>
                              <w:rFonts w:ascii="Calibri" w:hAnsi="Calibri" w:eastAsia="宋体" w:cs="Times New Roman"/>
                              <w:kern w:val="2"/>
                              <w:sz w:val="18"/>
                              <w:szCs w:val="18"/>
                              <w:lang w:val="en-US" w:eastAsia="zh-CN" w:bidi="ar-SA"/>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w:t xml:space="preserve">— </w:t>
                    </w:r>
                    <w:r>
                      <w:rPr>
                        <w:rFonts w:ascii="Calibri" w:hAnsi="Calibri" w:eastAsia="宋体" w:cs="Times New Roman"/>
                        <w:kern w:val="2"/>
                        <w:sz w:val="24"/>
                        <w:szCs w:val="24"/>
                        <w:lang w:val="en-US" w:eastAsia="zh-CN" w:bidi="ar-SA"/>
                      </w:rPr>
                      <w:fldChar w:fldCharType="begin"/>
                    </w:r>
                    <w:r>
                      <w:rPr>
                        <w:rFonts w:ascii="Calibri" w:hAnsi="Calibri" w:eastAsia="宋体" w:cs="Times New Roman"/>
                        <w:kern w:val="2"/>
                        <w:sz w:val="24"/>
                        <w:szCs w:val="24"/>
                        <w:lang w:val="en-US" w:eastAsia="zh-CN" w:bidi="ar-SA"/>
                      </w:rPr>
                      <w:instrText xml:space="preserve"> PAGE  \* MERGEFORMAT </w:instrText>
                    </w:r>
                    <w:r>
                      <w:rPr>
                        <w:rFonts w:ascii="Calibri" w:hAnsi="Calibri" w:eastAsia="宋体" w:cs="Times New Roman"/>
                        <w:kern w:val="2"/>
                        <w:sz w:val="24"/>
                        <w:szCs w:val="24"/>
                        <w:lang w:val="en-US" w:eastAsia="zh-CN" w:bidi="ar-SA"/>
                      </w:rPr>
                      <w:fldChar w:fldCharType="separate"/>
                    </w:r>
                    <w:r>
                      <w:rPr>
                        <w:rFonts w:ascii="Calibri" w:hAnsi="Calibri" w:eastAsia="宋体" w:cs="Times New Roman"/>
                        <w:kern w:val="2"/>
                        <w:sz w:val="24"/>
                        <w:szCs w:val="24"/>
                        <w:lang w:val="en-US" w:eastAsia="zh-CN" w:bidi="ar-SA"/>
                      </w:rPr>
                      <w:t>- 1 -</w:t>
                    </w:r>
                    <w:r>
                      <w:rPr>
                        <w:rFonts w:ascii="Calibri" w:hAnsi="Calibri" w:eastAsia="宋体" w:cs="Times New Roman"/>
                        <w:kern w:val="2"/>
                        <w:sz w:val="24"/>
                        <w:szCs w:val="24"/>
                        <w:lang w:val="en-US" w:eastAsia="zh-CN" w:bidi="ar-SA"/>
                      </w:rPr>
                      <w:fldChar w:fldCharType="end"/>
                    </w:r>
                    <w:r>
                      <w:rPr>
                        <w:rFonts w:ascii="Calibri" w:hAnsi="Calibri" w:eastAsia="宋体" w:cs="Times New Roman"/>
                        <w:kern w:val="2"/>
                        <w:sz w:val="18"/>
                        <w:szCs w:val="18"/>
                        <w:lang w:val="en-US" w:eastAsia="zh-CN" w:bidi="ar-SA"/>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B77CE"/>
    <w:rsid w:val="5A7B77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2022-03-25T09:46:00Z</dcterms:created>
  <dc:creator>朱昊</dc:creator>
  <cp:lastModifiedBy>朱昊</cp:lastModifiedBy>
  <dcterms:modified xsi:type="dcterms:W3CDTF">2022-03-25T09:47:01Z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2052-11.1.0.11035</vt:lpwstr>
  </property>
  <property fmtid="{D5CDD505-2E9C-101B-9397-08002B2CF9AE}" pid="3" name="ICV">
    <vt:lpwstr>999DDD66DB9941969392C0C3E0B7AE07</vt:lpwstr>
  </property>
</Properties>
</file>